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787760" w:rsidRPr="00287E3C" w:rsidRDefault="00787760" w:rsidP="00787760">
      <w:pPr>
        <w:widowControl w:val="0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08</w:t>
      </w:r>
      <w:r w:rsidRPr="00E8401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u w:val="single"/>
        </w:rPr>
        <w:t>08</w:t>
      </w:r>
      <w:r w:rsidRPr="00E84011">
        <w:rPr>
          <w:rFonts w:ascii="Times New Roman" w:hAnsi="Times New Roman"/>
          <w:sz w:val="27"/>
          <w:szCs w:val="27"/>
        </w:rPr>
        <w:t>.</w:t>
      </w:r>
      <w:r w:rsidRPr="0053437A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5</w:t>
      </w:r>
      <w:r w:rsidRPr="0053437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53437A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  <w:u w:val="single"/>
        </w:rPr>
        <w:t>1475</w:t>
      </w:r>
    </w:p>
    <w:p w:rsidR="00787760" w:rsidRPr="0053437A" w:rsidRDefault="00787760" w:rsidP="00787760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787760" w:rsidRDefault="00787760" w:rsidP="00787760">
      <w:pPr>
        <w:widowControl w:val="0"/>
      </w:pPr>
    </w:p>
    <w:p w:rsidR="00787760" w:rsidRDefault="00787760" w:rsidP="00787760">
      <w:pPr>
        <w:widowControl w:val="0"/>
      </w:pPr>
    </w:p>
    <w:p w:rsidR="00787760" w:rsidRPr="008A2E0C" w:rsidRDefault="00787760" w:rsidP="007877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11.11.2013 № 1791 «Об утверждении муниципальной программы ЗАТО Железногорск «Развитие образования ЗАТО Железногорск»»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AA58B1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AA58B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A58B1">
        <w:rPr>
          <w:rFonts w:ascii="Times New Roman" w:hAnsi="Times New Roman"/>
          <w:sz w:val="28"/>
          <w:szCs w:val="28"/>
        </w:rPr>
        <w:t xml:space="preserve"> от 20.03.2025 </w:t>
      </w:r>
      <w:r>
        <w:rPr>
          <w:rFonts w:ascii="Times New Roman" w:hAnsi="Times New Roman"/>
          <w:sz w:val="28"/>
          <w:szCs w:val="28"/>
        </w:rPr>
        <w:t>№</w:t>
      </w:r>
      <w:r w:rsidRPr="00AA58B1">
        <w:rPr>
          <w:rFonts w:ascii="Times New Roman" w:hAnsi="Times New Roman"/>
          <w:sz w:val="28"/>
          <w:szCs w:val="28"/>
        </w:rPr>
        <w:t xml:space="preserve"> 33-ФЗ </w:t>
      </w:r>
      <w:r>
        <w:rPr>
          <w:rFonts w:ascii="Times New Roman" w:hAnsi="Times New Roman"/>
          <w:sz w:val="28"/>
          <w:szCs w:val="28"/>
        </w:rPr>
        <w:t>«</w:t>
      </w:r>
      <w:r w:rsidRPr="00AA58B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z w:val="28"/>
          <w:szCs w:val="28"/>
        </w:rPr>
        <w:t xml:space="preserve">, Уставом 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787760" w:rsidRPr="009116ED" w:rsidRDefault="00787760" w:rsidP="0078776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787760" w:rsidRPr="008A2E0C" w:rsidRDefault="00787760" w:rsidP="00787760">
      <w:pPr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787760" w:rsidRPr="008A2E0C" w:rsidRDefault="00787760" w:rsidP="0078776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787760" w:rsidRPr="008A2E0C" w:rsidTr="00F3364E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639 048 105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00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00 руб.</w:t>
            </w:r>
          </w:p>
        </w:tc>
      </w:tr>
    </w:tbl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C0644A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 «Развитие образования ЗАТО Железногорск» изложить в новой редакции согласно </w:t>
      </w:r>
      <w:r w:rsidRPr="00940DE5">
        <w:rPr>
          <w:rFonts w:ascii="Times New Roman" w:hAnsi="Times New Roman"/>
          <w:sz w:val="28"/>
          <w:szCs w:val="28"/>
          <w:lang w:eastAsia="en-US"/>
        </w:rPr>
        <w:t>Приложению № 1 к настоящему постановлению.</w:t>
      </w:r>
    </w:p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87760" w:rsidRPr="008A2E0C" w:rsidRDefault="00787760" w:rsidP="007877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1.1.4.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787760" w:rsidRPr="008A2E0C" w:rsidRDefault="00787760" w:rsidP="0078776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4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87760" w:rsidRPr="008A2E0C" w:rsidRDefault="00787760" w:rsidP="0078776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787760" w:rsidRPr="008A2E0C" w:rsidTr="00F3364E">
        <w:tc>
          <w:tcPr>
            <w:tcW w:w="2694" w:type="dxa"/>
            <w:tcBorders>
              <w:right w:val="nil"/>
            </w:tcBorders>
            <w:hideMark/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928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633 182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617 054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926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00 руб.;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 00 руб.</w:t>
            </w:r>
          </w:p>
          <w:p w:rsidR="00787760" w:rsidRPr="008A2E0C" w:rsidRDefault="00787760" w:rsidP="00F33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87760" w:rsidRPr="008A2E0C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787760" w:rsidRDefault="00787760" w:rsidP="00787760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1.1.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787760" w:rsidRPr="008A2E0C" w:rsidRDefault="00787760" w:rsidP="007877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</w:rPr>
        <w:t>2. 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 Винокурова) </w:t>
      </w:r>
      <w:r w:rsidRPr="008B43BC">
        <w:rPr>
          <w:rFonts w:ascii="Times New Roman" w:hAnsi="Times New Roman" w:cs="Arial"/>
          <w:sz w:val="28"/>
          <w:szCs w:val="28"/>
          <w:lang w:eastAsia="en-US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8A2E0C">
        <w:rPr>
          <w:rFonts w:ascii="Times New Roman" w:hAnsi="Times New Roman" w:cs="Arial"/>
          <w:sz w:val="28"/>
          <w:szCs w:val="28"/>
          <w:lang w:eastAsia="en-US"/>
        </w:rPr>
        <w:t>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787760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787760" w:rsidRPr="008A2E0C" w:rsidRDefault="00787760" w:rsidP="0078776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5.</w:t>
      </w:r>
      <w:r w:rsidRPr="002E7141">
        <w:t xml:space="preserve"> </w:t>
      </w:r>
      <w:r w:rsidRPr="008B43BC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</w:t>
      </w:r>
      <w:r w:rsidRPr="008A2E0C">
        <w:rPr>
          <w:rFonts w:ascii="Times New Roman" w:hAnsi="Times New Roman"/>
          <w:sz w:val="28"/>
          <w:szCs w:val="28"/>
        </w:rPr>
        <w:t>.</w:t>
      </w: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87760" w:rsidRPr="008A2E0C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CB49F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B49F0">
        <w:rPr>
          <w:rFonts w:ascii="Times New Roman" w:hAnsi="Times New Roman"/>
          <w:sz w:val="28"/>
          <w:szCs w:val="28"/>
        </w:rPr>
        <w:t xml:space="preserve"> ЗАТО г. Железногорск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5010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787760" w:rsidRDefault="00787760" w:rsidP="0078776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57C2A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557C2A" w:rsidSect="00FC5AAE">
          <w:pgSz w:w="11906" w:h="16838" w:code="9"/>
          <w:pgMar w:top="1440" w:right="707" w:bottom="1440" w:left="1276" w:header="567" w:footer="567" w:gutter="0"/>
          <w:cols w:space="708"/>
          <w:titlePg/>
          <w:docGrid w:linePitch="360"/>
        </w:sectPr>
      </w:pPr>
    </w:p>
    <w:tbl>
      <w:tblPr>
        <w:tblW w:w="18420" w:type="dxa"/>
        <w:tblLook w:val="04A0" w:firstRow="1" w:lastRow="0" w:firstColumn="1" w:lastColumn="0" w:noHBand="0" w:noVBand="1"/>
      </w:tblPr>
      <w:tblGrid>
        <w:gridCol w:w="4280"/>
        <w:gridCol w:w="2180"/>
        <w:gridCol w:w="1120"/>
        <w:gridCol w:w="1120"/>
        <w:gridCol w:w="1120"/>
        <w:gridCol w:w="2200"/>
        <w:gridCol w:w="2160"/>
        <w:gridCol w:w="2080"/>
        <w:gridCol w:w="2160"/>
      </w:tblGrid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87760">
              <w:rPr>
                <w:rFonts w:ascii="Times New Roman" w:hAnsi="Times New Roman"/>
                <w:sz w:val="24"/>
                <w:szCs w:val="24"/>
                <w:u w:val="single"/>
              </w:rPr>
              <w:t>08.08.</w:t>
            </w:r>
            <w:r w:rsidRPr="00787760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787760">
              <w:rPr>
                <w:rFonts w:ascii="Times New Roman" w:hAnsi="Times New Roman"/>
                <w:sz w:val="24"/>
                <w:szCs w:val="24"/>
                <w:u w:val="single"/>
              </w:rPr>
              <w:t>1475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1125"/>
        </w:trPr>
        <w:tc>
          <w:tcPr>
            <w:tcW w:w="1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787760" w:rsidRPr="00787760" w:rsidTr="00787760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51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787760" w:rsidRPr="00787760" w:rsidTr="00787760">
        <w:trPr>
          <w:trHeight w:val="75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2 960 875 215,69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8 314 910 673,69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3 342 630,30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2 981 743,40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2 892 022 194,69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8 167 563 352,69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</w:tr>
      <w:tr w:rsidR="00787760" w:rsidRPr="00787760" w:rsidTr="00787760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787760" w:rsidRPr="00787760" w:rsidTr="00787760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122 620 401,60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115 032 562,06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352 685 525,72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35 951 918,24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105 540 468,72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86 016 278,00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80 678 191,75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247 702 553,10</w:t>
            </w:r>
          </w:p>
        </w:tc>
      </w:tr>
      <w:tr w:rsidR="00787760" w:rsidRPr="00787760" w:rsidTr="00787760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787760" w:rsidRPr="00787760" w:rsidTr="00787760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235 985 440,00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676 593 064,36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217 434 884,00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622 145 798,36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17 522 741,29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22 975 741,29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45 008 313,40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43 914 531,76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43 965 051,76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132 887 896,92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43 584 036,40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42 746 110,01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42 795 348,26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129 125 494,67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808 625,00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3 146 750,25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</w:tr>
      <w:tr w:rsidR="00787760" w:rsidRPr="00787760" w:rsidTr="00787760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</w:tr>
      <w:tr w:rsidR="00787760" w:rsidRPr="00787760" w:rsidTr="00787760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17 527 700,00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40 258 500,00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</w:tr>
      <w:tr w:rsidR="00787760" w:rsidRPr="00787760" w:rsidTr="00787760">
        <w:trPr>
          <w:trHeight w:val="598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</w:tr>
      <w:tr w:rsidR="00787760" w:rsidRPr="00787760" w:rsidTr="00787760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182 343 500,00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514 886 500,00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166 403 997,22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468 966 766,60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15 939 502,78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45 919 733,40</w:t>
            </w:r>
          </w:p>
        </w:tc>
      </w:tr>
      <w:tr w:rsidR="00787760" w:rsidRPr="00787760" w:rsidTr="00787760">
        <w:trPr>
          <w:trHeight w:val="31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787760" w:rsidRPr="00787760" w:rsidTr="00787760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787760" w:rsidRPr="00787760" w:rsidTr="00787760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660 397 500,00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1 849 563 700,00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660 397 500,00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1 849 563 700,00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609 342 200,00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1 694 819 600,00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609 342 200,00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1 694 819 600,00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550 917 957,57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1 533 998 201,57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58 424 242,43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160 821 398,43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51 055 300,00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154 744 100,00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51 055 300,00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154 744 100,00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45 910 370,28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139 287 856,28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5 144 929,72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15 456 243,72</w:t>
            </w:r>
          </w:p>
        </w:tc>
      </w:tr>
      <w:tr w:rsidR="00787760" w:rsidRPr="00787760" w:rsidTr="00787760">
        <w:trPr>
          <w:trHeight w:val="28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</w:tr>
      <w:tr w:rsidR="00787760" w:rsidRPr="00787760" w:rsidTr="00787760">
        <w:trPr>
          <w:trHeight w:val="6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165 919 800,00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1 717 318,91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1 862 569,13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1 717 318,91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1 862 569,13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1 643 241,30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1 643 241,30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53 589 281,09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164 057 230,87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53 589 281,09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164 057 230,87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53 589 281,09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164 057 230,87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4 849 809,30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18 438 641,56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48 739 471,79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145 618 589,31</w:t>
            </w:r>
          </w:p>
        </w:tc>
      </w:tr>
      <w:tr w:rsidR="00787760" w:rsidRPr="00787760" w:rsidTr="00787760">
        <w:trPr>
          <w:trHeight w:val="28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787760" w:rsidRPr="00787760" w:rsidTr="00787760">
        <w:trPr>
          <w:trHeight w:val="409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16 927 275,00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</w:tr>
      <w:tr w:rsidR="00787760" w:rsidRPr="00787760" w:rsidTr="00787760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12 134 649,40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</w:tr>
      <w:tr w:rsidR="00787760" w:rsidRPr="00787760" w:rsidTr="00787760">
        <w:trPr>
          <w:trHeight w:val="220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</w:tr>
      <w:tr w:rsidR="00787760" w:rsidRPr="00787760" w:rsidTr="00787760">
        <w:trPr>
          <w:trHeight w:val="157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</w:tr>
      <w:tr w:rsidR="00787760" w:rsidRPr="00787760" w:rsidTr="00787760">
        <w:trPr>
          <w:trHeight w:val="37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</w:tr>
      <w:tr w:rsidR="00787760" w:rsidRPr="00787760" w:rsidTr="0078776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787760" w:rsidRPr="00787760" w:rsidTr="00787760">
        <w:trPr>
          <w:trHeight w:val="15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12 372 000,00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33 914 400,00</w:t>
            </w:r>
          </w:p>
        </w:tc>
      </w:tr>
      <w:tr w:rsidR="00787760" w:rsidRPr="00787760" w:rsidTr="00787760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11 815 500,00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32 244 900,00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787760" w:rsidRPr="00787760" w:rsidTr="00787760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17 781 700,00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57 840 900,00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813 200,00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1 804 600,00</w:t>
            </w:r>
          </w:p>
        </w:tc>
      </w:tr>
      <w:tr w:rsidR="00787760" w:rsidRPr="00787760" w:rsidTr="00787760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797 500,00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1 767 900,00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787760" w:rsidRPr="00787760" w:rsidTr="00787760">
        <w:trPr>
          <w:trHeight w:val="34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787760" w:rsidRPr="00787760" w:rsidTr="0078776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81 200,00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409 400,00</w:t>
            </w:r>
          </w:p>
        </w:tc>
      </w:tr>
      <w:tr w:rsidR="00787760" w:rsidRPr="00787760" w:rsidTr="00787760">
        <w:trPr>
          <w:trHeight w:val="22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401 700,00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7 700,00</w:t>
            </w:r>
          </w:p>
        </w:tc>
      </w:tr>
      <w:tr w:rsidR="00787760" w:rsidRPr="00787760" w:rsidTr="00787760">
        <w:trPr>
          <w:trHeight w:val="18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787760" w:rsidRPr="00787760" w:rsidTr="00787760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16 624 100,00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33 188 600,00</w:t>
            </w:r>
          </w:p>
        </w:tc>
      </w:tr>
      <w:tr w:rsidR="00787760" w:rsidRPr="00787760" w:rsidTr="00787760">
        <w:trPr>
          <w:trHeight w:val="3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4F6F0D">
        <w:trPr>
          <w:trHeight w:val="121"/>
        </w:trPr>
        <w:tc>
          <w:tcPr>
            <w:tcW w:w="1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А.А.Кривицкая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18840" w:type="dxa"/>
        <w:tblLook w:val="04A0" w:firstRow="1" w:lastRow="0" w:firstColumn="1" w:lastColumn="0" w:noHBand="0" w:noVBand="1"/>
      </w:tblPr>
      <w:tblGrid>
        <w:gridCol w:w="2180"/>
        <w:gridCol w:w="4360"/>
        <w:gridCol w:w="3100"/>
        <w:gridCol w:w="2300"/>
        <w:gridCol w:w="2300"/>
        <w:gridCol w:w="2300"/>
        <w:gridCol w:w="2300"/>
      </w:tblGrid>
      <w:tr w:rsidR="00787760" w:rsidRPr="00787760" w:rsidTr="007877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787760" w:rsidRPr="00787760" w:rsidTr="00CB1861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87760">
              <w:rPr>
                <w:rFonts w:ascii="Times New Roman" w:hAnsi="Times New Roman"/>
                <w:sz w:val="24"/>
                <w:szCs w:val="24"/>
                <w:u w:val="single"/>
              </w:rPr>
              <w:t>08.08.</w:t>
            </w:r>
            <w:r w:rsidRPr="00787760">
              <w:rPr>
                <w:rFonts w:ascii="Times New Roman" w:hAnsi="Times New Roman"/>
                <w:sz w:val="24"/>
                <w:szCs w:val="24"/>
              </w:rPr>
              <w:t>2025 №</w:t>
            </w:r>
            <w:r w:rsidRPr="007877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1475</w:t>
            </w:r>
          </w:p>
        </w:tc>
      </w:tr>
      <w:tr w:rsidR="00787760" w:rsidRPr="00787760" w:rsidTr="0078776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46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787760" w:rsidRPr="00787760" w:rsidTr="0078776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630"/>
        </w:trPr>
        <w:tc>
          <w:tcPr>
            <w:tcW w:w="1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787760" w:rsidRPr="00787760" w:rsidTr="00787760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7760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7760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787760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787760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787760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7760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787760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9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7760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787760" w:rsidRPr="00787760" w:rsidTr="00787760">
        <w:trPr>
          <w:trHeight w:val="108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787760" w:rsidRPr="00787760" w:rsidTr="00787760">
        <w:trPr>
          <w:trHeight w:val="6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2 960 875 215,69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8 314 910 673,69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165 775 352,49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474 978 018,57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1 855 516 915,91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5 200 884 549,83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939 582 947,29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2 639 048 105,29</w:t>
            </w:r>
          </w:p>
        </w:tc>
      </w:tr>
      <w:tr w:rsidR="00787760" w:rsidRPr="00787760" w:rsidTr="00787760">
        <w:trPr>
          <w:trHeight w:val="58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2 892 022 194,69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8 167 563 352,69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1 820 294 785,91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5 098 023 928,42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917 588 926,29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2 617 054 084,29</w:t>
            </w:r>
          </w:p>
        </w:tc>
      </w:tr>
      <w:tr w:rsidR="00787760" w:rsidRPr="00787760" w:rsidTr="00787760">
        <w:trPr>
          <w:trHeight w:val="555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 детей сирот, расширение практики </w:t>
            </w: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семейных форм воспитания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46 859 000,00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125 353 300,00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42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11 636 870,00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22 492 678,59</w:t>
            </w:r>
          </w:p>
        </w:tc>
      </w:tr>
      <w:tr w:rsidR="00787760" w:rsidRPr="00787760" w:rsidTr="00787760">
        <w:trPr>
          <w:trHeight w:val="46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35 222 130,00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102 860 621,41</w:t>
            </w:r>
          </w:p>
        </w:tc>
      </w:tr>
      <w:tr w:rsidR="00787760" w:rsidRPr="00787760" w:rsidTr="00787760">
        <w:trPr>
          <w:trHeight w:val="48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</w:tr>
      <w:tr w:rsidR="00787760" w:rsidRPr="00787760" w:rsidTr="00787760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7760" w:rsidRPr="00787760" w:rsidTr="00787760">
        <w:trPr>
          <w:trHeight w:val="49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7760" w:rsidRPr="00787760" w:rsidTr="00787760">
        <w:trPr>
          <w:trHeight w:val="55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21 994 021,00</w:t>
            </w:r>
          </w:p>
        </w:tc>
      </w:tr>
      <w:tr w:rsidR="00787760" w:rsidRPr="00787760" w:rsidTr="0078776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1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  А. А. 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tbl>
      <w:tblPr>
        <w:tblW w:w="23503" w:type="dxa"/>
        <w:tblLook w:val="04A0" w:firstRow="1" w:lastRow="0" w:firstColumn="1" w:lastColumn="0" w:noHBand="0" w:noVBand="1"/>
      </w:tblPr>
      <w:tblGrid>
        <w:gridCol w:w="400"/>
        <w:gridCol w:w="4660"/>
        <w:gridCol w:w="1960"/>
        <w:gridCol w:w="1543"/>
        <w:gridCol w:w="940"/>
        <w:gridCol w:w="1080"/>
        <w:gridCol w:w="940"/>
        <w:gridCol w:w="1980"/>
        <w:gridCol w:w="1980"/>
        <w:gridCol w:w="1980"/>
        <w:gridCol w:w="1980"/>
        <w:gridCol w:w="4060"/>
      </w:tblGrid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87760">
              <w:rPr>
                <w:rFonts w:ascii="Times New Roman" w:hAnsi="Times New Roman"/>
                <w:sz w:val="24"/>
                <w:szCs w:val="24"/>
                <w:u w:val="single"/>
              </w:rPr>
              <w:t>08.08.</w:t>
            </w:r>
            <w:r w:rsidRPr="00787760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 w:rsidRPr="00787760">
              <w:rPr>
                <w:rFonts w:ascii="Times New Roman" w:hAnsi="Times New Roman"/>
                <w:sz w:val="24"/>
                <w:szCs w:val="24"/>
                <w:u w:val="single"/>
              </w:rPr>
              <w:t>1475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0247D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787760" w:rsidRPr="00787760" w:rsidTr="00787760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787760" w:rsidRPr="00787760" w:rsidTr="0078776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375"/>
        </w:trPr>
        <w:tc>
          <w:tcPr>
            <w:tcW w:w="235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760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787760" w:rsidRPr="00787760" w:rsidTr="00787760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</w:tr>
      <w:tr w:rsidR="00787760" w:rsidRPr="00787760" w:rsidTr="00787760">
        <w:trPr>
          <w:trHeight w:val="255"/>
        </w:trPr>
        <w:tc>
          <w:tcPr>
            <w:tcW w:w="5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5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7760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787760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787760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787760" w:rsidRPr="00787760" w:rsidTr="00787760">
        <w:trPr>
          <w:trHeight w:val="1440"/>
        </w:trPr>
        <w:tc>
          <w:tcPr>
            <w:tcW w:w="5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7760" w:rsidRPr="00787760" w:rsidTr="00787760">
        <w:trPr>
          <w:trHeight w:val="1020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787760" w:rsidRPr="00787760" w:rsidTr="00787760">
        <w:trPr>
          <w:trHeight w:val="690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787760" w:rsidRPr="00787760" w:rsidTr="00787760">
        <w:trPr>
          <w:trHeight w:val="12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389 146 884,00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1 142 416 018,00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3727  воспитанника получат услуги дошкольного образования</w:t>
            </w:r>
          </w:p>
        </w:tc>
      </w:tr>
      <w:tr w:rsidR="00787760" w:rsidRPr="00787760" w:rsidTr="00787760">
        <w:trPr>
          <w:trHeight w:val="25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787760" w:rsidRPr="00787760" w:rsidTr="00787760">
        <w:trPr>
          <w:trHeight w:val="598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228 631 000,00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636 846 200,00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787760" w:rsidRPr="00787760" w:rsidTr="00787760">
        <w:trPr>
          <w:trHeight w:val="63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600 788 800,00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1 704 778 000,00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787760" w:rsidRPr="00787760" w:rsidTr="00787760">
        <w:trPr>
          <w:trHeight w:val="31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787760" w:rsidRPr="00787760" w:rsidTr="00787760">
        <w:trPr>
          <w:trHeight w:val="25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40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787760" w:rsidRPr="00787760" w:rsidTr="00787760">
        <w:trPr>
          <w:trHeight w:val="12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787760" w:rsidRPr="00787760" w:rsidTr="00787760">
        <w:trPr>
          <w:trHeight w:val="22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1.9.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9 470 179,70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Будет выполнен текущий ремонт спортивного зала МБОУ Школа №104</w:t>
            </w:r>
          </w:p>
        </w:tc>
      </w:tr>
      <w:tr w:rsidR="00787760" w:rsidRPr="00787760" w:rsidTr="00787760">
        <w:trPr>
          <w:trHeight w:val="570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787760" w:rsidRPr="00787760" w:rsidTr="00787760">
        <w:trPr>
          <w:trHeight w:val="15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217 434 884,00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622 145 798,36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18 550 556,00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54 447 266,00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5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787760" w:rsidRPr="00787760" w:rsidTr="00787760">
        <w:trPr>
          <w:trHeight w:val="40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11 284 850,00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5 642 425,00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69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166 403 997,22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468 966 766,60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15 939 502,78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45 919 733,40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65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550 917 957,57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1 533 998 201,57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58 424 242,43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160 821 398,43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5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2.6.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12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13 749 526,00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27 506 698,18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787760" w:rsidRPr="00787760" w:rsidTr="00787760">
        <w:trPr>
          <w:trHeight w:val="21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787760" w:rsidRPr="00787760" w:rsidTr="00787760">
        <w:trPr>
          <w:trHeight w:val="36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817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1 462 731,29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Для  выполнения работ "Обустройство сети уличного освещения в районе школы №106". (Смета на 2270277,38 руб. сокращена в процессе согласования) 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освещения) 6053370 руб.; 2. благоустройство территории (замена асфальтового покрытия) 7842978,0 рублей; 3. в сумме 1663662,0 рублей на: монтаж баскетбольных стоек на спортивной баскетбольно-волейбольной площадке,текущий ремонт беговой дорожки, текущий ремонт спортивной дорожки, текущий ремонт ямы для прыжков в длину, устройство площадки для посадки в школьный автобус, устройство площадки под мусорные контейнеры</w:t>
            </w:r>
          </w:p>
        </w:tc>
      </w:tr>
      <w:tr w:rsidR="00787760" w:rsidRPr="00787760" w:rsidTr="00787760">
        <w:trPr>
          <w:trHeight w:val="16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118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2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 по конкурсным отборам, проведенным в 2022-2023 годах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11 316 565,66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787760" w:rsidRPr="00787760" w:rsidTr="00787760">
        <w:trPr>
          <w:trHeight w:val="238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411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62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3 035 717,00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787760" w:rsidRPr="00787760" w:rsidTr="00787760">
        <w:trPr>
          <w:trHeight w:val="14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№93</w:t>
            </w:r>
          </w:p>
        </w:tc>
      </w:tr>
      <w:tr w:rsidR="00787760" w:rsidRPr="00787760" w:rsidTr="00787760">
        <w:trPr>
          <w:trHeight w:val="22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государственныз и муниципальных общеобразовательных организаций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Выплаты ежемесячного денежного вознаграждения  советникам директоров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6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1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2.18.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2 664 469,70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787760" w:rsidRPr="00787760" w:rsidTr="00787760">
        <w:trPr>
          <w:trHeight w:val="12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2.19.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787760" w:rsidRPr="00787760" w:rsidTr="00787760">
        <w:trPr>
          <w:trHeight w:val="22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2.20. Расходы на приобретение оборудования в целях реализации мероприятий по модернизации школьных систем образования по конкурсному отбору, проведенному в 2024 году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021Ю457505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29 270 000,01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Приобретение оборудования МБОУ Школа №95, МБОУ Школа №98</w:t>
            </w:r>
          </w:p>
        </w:tc>
      </w:tr>
      <w:tr w:rsidR="00787760" w:rsidRPr="00787760" w:rsidTr="00787760">
        <w:trPr>
          <w:trHeight w:val="70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2.21.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4 573 896,00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Средства будут направлены на оборудование объектов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оснащение объектов системой наружного освещения;</w:t>
            </w:r>
            <w:r w:rsidRPr="00787760">
              <w:rPr>
                <w:rFonts w:ascii="Times New Roman" w:hAnsi="Times New Roman"/>
                <w:sz w:val="24"/>
                <w:szCs w:val="24"/>
              </w:rPr>
              <w:br/>
            </w:r>
            <w:r w:rsidRPr="00787760">
              <w:rPr>
                <w:rFonts w:ascii="Times New Roman" w:hAnsi="Times New Roman"/>
                <w:sz w:val="24"/>
                <w:szCs w:val="24"/>
              </w:rPr>
              <w:br/>
              <w:t>оснащение объектов системой охранной сигнализации;оборудование объектов системой контроля и управления доступом.</w:t>
            </w:r>
          </w:p>
        </w:tc>
      </w:tr>
      <w:tr w:rsidR="00787760" w:rsidRPr="00787760" w:rsidTr="00787760">
        <w:trPr>
          <w:trHeight w:val="840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787760" w:rsidRPr="00787760" w:rsidTr="00787760">
        <w:trPr>
          <w:trHeight w:val="12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86 668 483,36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247 145 057,00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35 951 918,24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34 794 275,24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105 540 468,72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63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45 910 370,28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139 287 856,28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5 144 929,72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15 456 243,72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16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3.3.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1 825 604,00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Численность детей, включенных в дополнительные общеразвивающие программы</w:t>
            </w:r>
          </w:p>
        </w:tc>
      </w:tr>
      <w:tr w:rsidR="00787760" w:rsidRPr="00787760" w:rsidTr="00787760">
        <w:trPr>
          <w:trHeight w:val="315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787760" w:rsidRPr="00787760" w:rsidTr="00787760">
        <w:trPr>
          <w:trHeight w:val="283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787760" w:rsidRPr="00787760" w:rsidTr="00787760">
        <w:trPr>
          <w:trHeight w:val="129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21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787760" w:rsidRPr="00787760" w:rsidTr="00787760">
        <w:trPr>
          <w:trHeight w:val="252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787760" w:rsidRPr="00787760" w:rsidTr="00787760">
        <w:trPr>
          <w:trHeight w:val="315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787760" w:rsidRPr="00787760" w:rsidTr="00787760">
        <w:trPr>
          <w:trHeight w:val="25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76 528 780,68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220 005 262,68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8 938 450,75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27 453 727,10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219 063,32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555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787760" w:rsidRPr="00787760" w:rsidTr="00787760">
        <w:trPr>
          <w:trHeight w:val="409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787760" w:rsidRPr="00787760" w:rsidTr="00787760">
        <w:trPr>
          <w:trHeight w:val="57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74 077,61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219 327,83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2-х человек) в организации отдыха детей и их оздоровления. Осуществлении выплат по оплате труда специалистам, ответственным за предоставление мер по организации и обеспечению отдыха и оздоровления детей, а также материальные затраты, включающие расходы на оборудование, оплату услуг связи, приобретение материалов, в том числе расходных </w:t>
            </w: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деятельности специалистов.</w:t>
            </w:r>
          </w:p>
        </w:tc>
      </w:tr>
      <w:tr w:rsidR="00787760" w:rsidRPr="00787760" w:rsidTr="00787760">
        <w:trPr>
          <w:trHeight w:val="4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791 028,39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852 212,91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4 849 809,30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18 438 641,56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48 739 471,79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145 618 589,31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43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5 347 112,00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Средства будут направлены на текущий ремонт спального корпуса №4 МАУ ДО ДООЦ "Орбита", на выполнение комплекса работ в рамках текущего ремонта, для подготовки учреждения к летней оздоровительной кампании  МАОУ ДОД ДООЦ "Взлет", на текущий ремонт спального корпуса №4 по МАУ ДО ДООЦ "Горный".</w:t>
            </w:r>
          </w:p>
        </w:tc>
      </w:tr>
      <w:tr w:rsidR="00787760" w:rsidRPr="00787760" w:rsidTr="00787760">
        <w:trPr>
          <w:trHeight w:val="810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787760" w:rsidRPr="00787760" w:rsidTr="00787760">
        <w:trPr>
          <w:trHeight w:val="12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41 658 960,40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122 524 168,17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808 625,00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3 146 750,25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1 424 277,00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3 762 402,25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945"/>
        </w:trPr>
        <w:tc>
          <w:tcPr>
            <w:tcW w:w="2350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lastRenderedPageBreak/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787760" w:rsidRPr="00787760" w:rsidTr="00787760">
        <w:trPr>
          <w:trHeight w:val="30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17 127 700,00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39 058 500,00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787760" w:rsidRPr="00787760" w:rsidTr="00787760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60" w:rsidRPr="00787760" w:rsidTr="00787760">
        <w:trPr>
          <w:trHeight w:val="61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787760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2 892 022 194,69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8 167 563 352,69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315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2 885 166 467,79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2 632 842 460,89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2 640 561 032,89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8 158 569 961,57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6 526 726,90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8 036 391,12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9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4"/>
                <w:szCs w:val="24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60" w:rsidRPr="00787760" w:rsidTr="00787760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87760" w:rsidRPr="00787760" w:rsidTr="00787760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60" w:rsidRPr="00787760" w:rsidRDefault="00787760" w:rsidP="00787760">
            <w:pPr>
              <w:rPr>
                <w:rFonts w:ascii="Times New Roman" w:hAnsi="Times New Roman"/>
                <w:sz w:val="20"/>
              </w:rPr>
            </w:pPr>
            <w:r w:rsidRPr="00787760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787760">
              <w:rPr>
                <w:rFonts w:ascii="Times New Roman" w:hAnsi="Times New Roman"/>
                <w:sz w:val="24"/>
                <w:szCs w:val="24"/>
              </w:rPr>
              <w:t xml:space="preserve"> А. А. Кривицкая</w:t>
            </w:r>
          </w:p>
        </w:tc>
      </w:tr>
    </w:tbl>
    <w:p w:rsidR="00CF7457" w:rsidRDefault="00CF7457" w:rsidP="00FC5AAE">
      <w:pPr>
        <w:ind w:right="-851"/>
        <w:jc w:val="both"/>
        <w:rPr>
          <w:rFonts w:ascii="Times New Roman" w:hAnsi="Times New Roman"/>
          <w:sz w:val="28"/>
          <w:szCs w:val="28"/>
        </w:rPr>
        <w:sectPr w:rsidR="00CF7457" w:rsidSect="00557C2A">
          <w:pgSz w:w="25515" w:h="11907" w:orient="landscape" w:code="9"/>
          <w:pgMar w:top="1135" w:right="1440" w:bottom="709" w:left="1440" w:header="567" w:footer="567" w:gutter="0"/>
          <w:cols w:space="708"/>
          <w:titlePg/>
          <w:docGrid w:linePitch="360"/>
        </w:sectPr>
      </w:pPr>
    </w:p>
    <w:p w:rsidR="00557C2A" w:rsidRPr="008A2E0C" w:rsidRDefault="00557C2A" w:rsidP="00FC5AAE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557C2A" w:rsidRPr="008A2E0C" w:rsidSect="00557C2A">
      <w:pgSz w:w="25515" w:h="11907" w:orient="landscape" w:code="9"/>
      <w:pgMar w:top="1135" w:right="1440" w:bottom="709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CE" w:rsidRDefault="00701FCE">
      <w:r>
        <w:separator/>
      </w:r>
    </w:p>
  </w:endnote>
  <w:endnote w:type="continuationSeparator" w:id="0">
    <w:p w:rsidR="00701FCE" w:rsidRDefault="0070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CE" w:rsidRDefault="00701FCE">
      <w:r>
        <w:separator/>
      </w:r>
    </w:p>
  </w:footnote>
  <w:footnote w:type="continuationSeparator" w:id="0">
    <w:p w:rsidR="00701FCE" w:rsidRDefault="0070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A7BBF"/>
    <w:rsid w:val="000B2648"/>
    <w:rsid w:val="000B2C79"/>
    <w:rsid w:val="000C0BA3"/>
    <w:rsid w:val="000C0D2E"/>
    <w:rsid w:val="000D79F1"/>
    <w:rsid w:val="000E1205"/>
    <w:rsid w:val="000E148E"/>
    <w:rsid w:val="000E6C69"/>
    <w:rsid w:val="000F167A"/>
    <w:rsid w:val="000F4945"/>
    <w:rsid w:val="00100A6C"/>
    <w:rsid w:val="001069D1"/>
    <w:rsid w:val="00110432"/>
    <w:rsid w:val="001137A1"/>
    <w:rsid w:val="001155F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91DE5"/>
    <w:rsid w:val="001A024C"/>
    <w:rsid w:val="001B66AA"/>
    <w:rsid w:val="001C0FF7"/>
    <w:rsid w:val="001C176D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0C1E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0A96"/>
    <w:rsid w:val="002F13C4"/>
    <w:rsid w:val="002F2942"/>
    <w:rsid w:val="002F3766"/>
    <w:rsid w:val="003100DC"/>
    <w:rsid w:val="003106C8"/>
    <w:rsid w:val="00316062"/>
    <w:rsid w:val="00320668"/>
    <w:rsid w:val="003231DA"/>
    <w:rsid w:val="003240D2"/>
    <w:rsid w:val="003362A4"/>
    <w:rsid w:val="00340457"/>
    <w:rsid w:val="00343F09"/>
    <w:rsid w:val="00350106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42EB"/>
    <w:rsid w:val="003B68D7"/>
    <w:rsid w:val="003B7B9D"/>
    <w:rsid w:val="003C025D"/>
    <w:rsid w:val="003C2535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1598"/>
    <w:rsid w:val="00466E6A"/>
    <w:rsid w:val="00475C5B"/>
    <w:rsid w:val="0048335E"/>
    <w:rsid w:val="004A06D2"/>
    <w:rsid w:val="004A21C3"/>
    <w:rsid w:val="004B3D5D"/>
    <w:rsid w:val="004B50CD"/>
    <w:rsid w:val="004C05F4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57C2A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5F7015"/>
    <w:rsid w:val="0060072A"/>
    <w:rsid w:val="0060126F"/>
    <w:rsid w:val="00603358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1FCE"/>
    <w:rsid w:val="00705DCF"/>
    <w:rsid w:val="00710B07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87760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0EB4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849DB"/>
    <w:rsid w:val="00891A59"/>
    <w:rsid w:val="008961AA"/>
    <w:rsid w:val="008A2E0C"/>
    <w:rsid w:val="008B43BC"/>
    <w:rsid w:val="008C1A8A"/>
    <w:rsid w:val="008C38BB"/>
    <w:rsid w:val="008C697C"/>
    <w:rsid w:val="008C6C37"/>
    <w:rsid w:val="008D000B"/>
    <w:rsid w:val="008D4D8E"/>
    <w:rsid w:val="008E3BB6"/>
    <w:rsid w:val="008F07A9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27ADA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773A1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1209"/>
    <w:rsid w:val="00A03172"/>
    <w:rsid w:val="00A1359C"/>
    <w:rsid w:val="00A172B1"/>
    <w:rsid w:val="00A20918"/>
    <w:rsid w:val="00A31FA6"/>
    <w:rsid w:val="00A369D7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1F35"/>
    <w:rsid w:val="00A933F6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2F76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2021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53CAB"/>
    <w:rsid w:val="00C62E5E"/>
    <w:rsid w:val="00C70B5D"/>
    <w:rsid w:val="00C71832"/>
    <w:rsid w:val="00C720B1"/>
    <w:rsid w:val="00C76DBB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CF7457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77A7F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C4E22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4DD9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0BB6"/>
    <w:rsid w:val="00EC3840"/>
    <w:rsid w:val="00ED1138"/>
    <w:rsid w:val="00EE08BF"/>
    <w:rsid w:val="00EE184C"/>
    <w:rsid w:val="00EF0D27"/>
    <w:rsid w:val="00EF429D"/>
    <w:rsid w:val="00F0234A"/>
    <w:rsid w:val="00F30165"/>
    <w:rsid w:val="00F31369"/>
    <w:rsid w:val="00F3444D"/>
    <w:rsid w:val="00F41E6F"/>
    <w:rsid w:val="00F57F22"/>
    <w:rsid w:val="00F61590"/>
    <w:rsid w:val="00F64C14"/>
    <w:rsid w:val="00F67DA3"/>
    <w:rsid w:val="00F67F58"/>
    <w:rsid w:val="00F72C12"/>
    <w:rsid w:val="00F747E1"/>
    <w:rsid w:val="00F804BB"/>
    <w:rsid w:val="00F83D09"/>
    <w:rsid w:val="00F871EE"/>
    <w:rsid w:val="00F9441C"/>
    <w:rsid w:val="00FB6572"/>
    <w:rsid w:val="00FC04C1"/>
    <w:rsid w:val="00FC4A5E"/>
    <w:rsid w:val="00FC5AAE"/>
    <w:rsid w:val="00FD2C49"/>
    <w:rsid w:val="00FD6FDF"/>
    <w:rsid w:val="00FE070D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A812A"/>
  <w15:docId w15:val="{D90394B5-0D65-4519-B6FF-C260543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240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F4C6-28F9-4A15-BD14-19DB7597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11496</Words>
  <Characters>65529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4</cp:revision>
  <cp:lastPrinted>2025-06-04T07:46:00Z</cp:lastPrinted>
  <dcterms:created xsi:type="dcterms:W3CDTF">2025-08-11T02:05:00Z</dcterms:created>
  <dcterms:modified xsi:type="dcterms:W3CDTF">2025-08-11T02:07:00Z</dcterms:modified>
</cp:coreProperties>
</file>